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uto" w:line="259" w:before="0" w:after="206"/>
        <w:ind w:hanging="0" w:left="0" w:right="3"/>
        <w:jc w:val="center"/>
        <w:rPr/>
      </w:pPr>
      <w:r>
        <w:rPr/>
        <w:t>PROGRAMMAZIONE DELLE MISURE</w:t>
      </w:r>
    </w:p>
    <w:p>
      <w:pPr>
        <w:pStyle w:val="Normal"/>
        <w:spacing w:lineRule="auto" w:line="259" w:before="0" w:after="0"/>
        <w:ind w:hanging="0" w:left="1142"/>
        <w:jc w:val="left"/>
        <w:rPr>
          <w:sz w:val="22"/>
        </w:rPr>
      </w:pPr>
      <w:r>
        <w:rPr>
          <w:b/>
          <w:sz w:val="22"/>
        </w:rPr>
        <w:t xml:space="preserve">ALLEGATO N. 3 AL PTPC  2026 - 2028 DELL’ORDINE DEGLI INGEGNERI DELLA PROVINCIA DI ALESSANDRIA 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3"/>
        <w:gridCol w:w="1703"/>
        <w:gridCol w:w="1691"/>
        <w:gridCol w:w="1626"/>
        <w:gridCol w:w="1702"/>
        <w:gridCol w:w="1750"/>
        <w:gridCol w:w="1703"/>
        <w:gridCol w:w="1930"/>
      </w:tblGrid>
      <w:tr>
        <w:trPr/>
        <w:tc>
          <w:tcPr>
            <w:tcW w:w="155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69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626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5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703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3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1367" w:hRule="atLeast"/>
        </w:trPr>
        <w:tc>
          <w:tcPr>
            <w:tcW w:w="1553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ACQUISIZIONE E GESTIONE DEL PERSONALE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Reclutamento e modifica del rapporto di lavoro</w:t>
            </w:r>
          </w:p>
        </w:tc>
        <w:tc>
          <w:tcPr>
            <w:tcW w:w="169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color w:val="FF0000"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Formazione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Trasparenza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Partecipazione dei consiglieri e dei dipendenti a corsi specifici sull’argomento.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(Tesoriere) sulla scelta delle modalità di reclutamento e sul rispetto delle procedure stabilite per legge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Predeteminazione dei criteri di selezione e pubblicazione del bando di concorso/avviso di mobilità e dell’esito finale della selezione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Di volta in volta per ogni procedimento di reclutamento</w:t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attestati di frequenza evento formativo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Presenza agli atti di dichiarazioni sull’assenza di rapporti di parentela, coniugio tra i concorrenti e i commissari.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verbali di consiglio (50%)</w:t>
            </w:r>
          </w:p>
        </w:tc>
      </w:tr>
      <w:tr>
        <w:trPr>
          <w:trHeight w:val="1401" w:hRule="atLeast"/>
        </w:trPr>
        <w:tc>
          <w:tcPr>
            <w:tcW w:w="1553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Progressioni di carriera (progressione orizzontale)</w:t>
            </w:r>
          </w:p>
        </w:tc>
        <w:tc>
          <w:tcPr>
            <w:tcW w:w="169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color w:val="FF0000"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Formazione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Partecipazione dei consiglieri e dei dipendenti a corsi specifici sull’argomento.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(Tesoriere) sul rispetto delle procedure stabilite per legge e sul rispetto dei criteri prestabiliti di valutazione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Di volta in volta per ogni procedimento di progressione di carriera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attestati di frequenza evento formativo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>
          <w:trHeight w:val="991" w:hRule="atLeast"/>
        </w:trPr>
        <w:tc>
          <w:tcPr>
            <w:tcW w:w="1553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Conferimento incarichi di collaborazione</w:t>
            </w:r>
          </w:p>
        </w:tc>
        <w:tc>
          <w:tcPr>
            <w:tcW w:w="169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color w:val="FF0000"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Formazione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Partecipazione dei consiglieri e dei dipendenti a corsi specifici sull’argomento.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(Tesoriere) sull’esistenza dei presupposti di legge e sul rispetto dei criteri prestabiliti di valutazione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R.U.P: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attestati di frequenza evento formativo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7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8"/>
        <w:gridCol w:w="2107"/>
        <w:gridCol w:w="1692"/>
        <w:gridCol w:w="1391"/>
        <w:gridCol w:w="2016"/>
        <w:gridCol w:w="1750"/>
        <w:gridCol w:w="1576"/>
        <w:gridCol w:w="1931"/>
      </w:tblGrid>
      <w:tr>
        <w:trPr/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69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39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2016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5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576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3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869" w:hRule="atLeast"/>
        </w:trPr>
        <w:tc>
          <w:tcPr>
            <w:tcW w:w="1268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CONTRATTI PUBBLICI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Individuazione del bisogno (“programmazione”)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assenza conflitti di interesse nella nomina del R.U.P.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all’atto della nomina di volta in volta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 con cadenza annuale</w:t>
            </w:r>
          </w:p>
        </w:tc>
      </w:tr>
      <w:tr>
        <w:trPr/>
        <w:tc>
          <w:tcPr>
            <w:tcW w:w="126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Progettazione della gara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Formazione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sulla conformità al D.Lgs.50/2016 e al Regolamento interno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Formazione specifica al R.U.P. e/o al personale di Segreteria in materia di affidamenti sotto soglia comunitaria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(Di volta in volta per ogni specifica iscrizione)</w:t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Attestazione partecipazione evento formativo</w:t>
            </w:r>
          </w:p>
        </w:tc>
      </w:tr>
      <w:tr>
        <w:trPr>
          <w:trHeight w:val="1159" w:hRule="atLeast"/>
        </w:trPr>
        <w:tc>
          <w:tcPr>
            <w:tcW w:w="126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Individuazione dell’affidatario (“selezione del contraente”)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Formazione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sulla conformità al D.Lgs.50/2016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Formazione specifica al R.U.P. e/o al personale di Segreteria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(Di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Attestazione partecipazione evento formativo</w:t>
            </w:r>
          </w:p>
        </w:tc>
      </w:tr>
      <w:tr>
        <w:trPr>
          <w:trHeight w:val="890" w:hRule="atLeast"/>
        </w:trPr>
        <w:tc>
          <w:tcPr>
            <w:tcW w:w="126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Contrattualizzazione (“aggiudicazione e stipula”)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sulla conformità al D.Lgs.50/2016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(Di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869" w:hRule="atLeast"/>
        </w:trPr>
        <w:tc>
          <w:tcPr>
            <w:tcW w:w="126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Verifica dell’esecuzione (“esecuzione”)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sulla regolare esecuzione dei lavori, sulla liquidazione dei lavori, sulle forme scelte per la risoluzione di eventuali controversie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(Di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26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Rendicontazione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circa la corrispondenza degli importi  fatturati  con le condizioni contrattuali/certificati di pagamento /certificato di collaudo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(Di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7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2"/>
        <w:gridCol w:w="1614"/>
        <w:gridCol w:w="1702"/>
        <w:gridCol w:w="1560"/>
        <w:gridCol w:w="1700"/>
        <w:gridCol w:w="1701"/>
        <w:gridCol w:w="1702"/>
        <w:gridCol w:w="1982"/>
      </w:tblGrid>
      <w:tr>
        <w:trPr/>
        <w:tc>
          <w:tcPr>
            <w:tcW w:w="178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56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70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0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8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1159" w:hRule="atLeast"/>
        </w:trPr>
        <w:tc>
          <w:tcPr>
            <w:tcW w:w="1782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PROVVEDIMENTI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 xml:space="preserve">Provvedimenti </w:t>
            </w:r>
            <w:r>
              <w:rPr>
                <w:rFonts w:eastAsia="Times New Roman"/>
                <w:b/>
                <w:kern w:val="0"/>
                <w:sz w:val="22"/>
                <w:szCs w:val="22"/>
                <w:u w:val="single"/>
                <w:lang w:val="it-IT" w:eastAsia="it-IT" w:bidi="ar-SA"/>
              </w:rPr>
              <w:t>senza effetto economico diretto ed immediato</w:t>
            </w: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 xml:space="preserve"> (vedi aree rischi specifici più avanti)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869" w:hRule="atLeast"/>
        </w:trPr>
        <w:tc>
          <w:tcPr>
            <w:tcW w:w="1782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 xml:space="preserve">Provvedimenti </w:t>
            </w:r>
            <w:r>
              <w:rPr>
                <w:rFonts w:eastAsia="Times New Roman"/>
                <w:b/>
                <w:kern w:val="0"/>
                <w:sz w:val="22"/>
                <w:szCs w:val="22"/>
                <w:u w:val="single"/>
                <w:lang w:val="it-IT" w:eastAsia="it-IT" w:bidi="ar-SA"/>
              </w:rPr>
              <w:t>con effetto economico diretto ed immediato</w:t>
            </w: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: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890" w:hRule="atLeast"/>
        </w:trPr>
        <w:tc>
          <w:tcPr>
            <w:tcW w:w="1782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Sovvenzioni e contributi</w:t>
            </w:r>
          </w:p>
        </w:tc>
        <w:tc>
          <w:tcPr>
            <w:tcW w:w="170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Prevenzione del conflitto di interessi</w:t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ind w:hanging="0" w:left="0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volta a escludere la possibile riconducibilità a interessi di uno o più Consigliere</w:t>
            </w:r>
          </w:p>
          <w:p>
            <w:pPr>
              <w:pStyle w:val="Normal"/>
              <w:widowControl/>
              <w:spacing w:lineRule="auto" w:line="259"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Nomina del 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RUP sulla coerenza dei criteri di erogazione e sul correto utilizzo dei fondi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Nomina R.U.P. di volta in volta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Controllo di volta in volta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2029" w:hRule="atLeast"/>
        </w:trPr>
        <w:tc>
          <w:tcPr>
            <w:tcW w:w="1782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Erogazioni liberali ad enti/associazioni/Federazioni /Consulte/Comitati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Prevenzione del conflitto di interesse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Nomina del 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RUP sulla coerenza dei criteri di erogazione e sul corretto utilizzo dei fondi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volta a escludere la possibile riconducibilità a interessi di uno o più Consigliere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Nomina R.U.P. di volta in volta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Controllo di volta in volta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782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yellow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Versamento di quote associative presso enti e organismi rappresentativi della categoria</w:t>
            </w:r>
          </w:p>
        </w:tc>
        <w:tc>
          <w:tcPr>
            <w:tcW w:w="170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Prevenzione del conflitto di interesse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Nomina del 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RUP sulla coerenza dei criteri, requisiti, condizioni per associarsi</w:t>
            </w:r>
          </w:p>
          <w:p>
            <w:pPr>
              <w:pStyle w:val="Normal"/>
              <w:widowControl/>
              <w:spacing w:lineRule="auto" w:line="259"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volta a escludere la possibile riconducibilità a interessi di uno o più Consigliere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Nomina R.U.P. di volta in volta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Controllo di volta in volta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</w:t>
            </w:r>
          </w:p>
          <w:p>
            <w:pPr>
              <w:pStyle w:val="Normal"/>
              <w:widowControl/>
              <w:spacing w:lineRule="auto" w:line="259"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6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560"/>
        <w:gridCol w:w="1691"/>
        <w:gridCol w:w="1559"/>
        <w:gridCol w:w="1712"/>
        <w:gridCol w:w="1750"/>
        <w:gridCol w:w="1651"/>
        <w:gridCol w:w="1931"/>
      </w:tblGrid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69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559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71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5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65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3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1054" w:hRule="atLeast"/>
        </w:trPr>
        <w:tc>
          <w:tcPr>
            <w:tcW w:w="1837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INCARICHI E NOMINE A SOGGETTI INTERNI ALL’ENTE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 di affidamento incarichi esterni ai dipendenti</w:t>
            </w:r>
          </w:p>
        </w:tc>
        <w:tc>
          <w:tcPr>
            <w:tcW w:w="169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RUP sul rispetto delle disposizioni di legge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assenza conflitti di interesse  nel caso specifico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 per ogni specifico incarico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699" w:hRule="atLeast"/>
        </w:trPr>
        <w:tc>
          <w:tcPr>
            <w:tcW w:w="1837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 di affidamento incarichi esterni ai Consiglieri</w:t>
            </w:r>
          </w:p>
        </w:tc>
        <w:tc>
          <w:tcPr>
            <w:tcW w:w="169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assenza conflitti di interesse  nel caso specifico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R.P.C.T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 per ogni specifico incarico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</w:t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6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5"/>
        <w:gridCol w:w="1497"/>
        <w:gridCol w:w="1692"/>
        <w:gridCol w:w="1879"/>
        <w:gridCol w:w="1617"/>
        <w:gridCol w:w="1750"/>
        <w:gridCol w:w="1810"/>
        <w:gridCol w:w="1931"/>
      </w:tblGrid>
      <w:tr>
        <w:trPr/>
        <w:tc>
          <w:tcPr>
            <w:tcW w:w="151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69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879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617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5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81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3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290" w:hRule="atLeast"/>
        </w:trPr>
        <w:tc>
          <w:tcPr>
            <w:tcW w:w="151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GESTIONE DELLE ENTRATE, DELLE SPESE E DEL PATRIMONIO – GESTIONE ECONOMICA DELL’ENTE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Gestione delle entrate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(Tesoriere) sulle voci di entrata: se sono dovute e se l’importo è corretto.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Revisore dei Conti sulla correttezza dell’entrate.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contabilità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Tesoriere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Revisore dei Conti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del bilancio preventivo e consuntivo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- Presenza agli atti della Relazione del Revisore dei Conti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- Pubblicazione Regolamento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290" w:hRule="atLeast"/>
        </w:trPr>
        <w:tc>
          <w:tcPr>
            <w:tcW w:w="151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Gestione delle morosità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e del Consiglio sui pagamenti delle quote.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contabilità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(ogni anno in occasione della scadenza dei termini per il pagamento)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dei verbali di Consiglio e del bilancio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- Pubblicazione Regolamento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3180" w:hRule="atLeast"/>
        </w:trPr>
        <w:tc>
          <w:tcPr>
            <w:tcW w:w="151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Approvazione del bilancio (preventivo e consultivo)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Revisore dei conti.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Consiglio dell’Ordine.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contabilità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Revisore dei Conti e 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(ogni anno in concomitanza dell’approvazione del bilancio preventivo e consuntivo)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dei verbali di Consiglio e del bilancio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- Pubblicazione Regolamento</w:t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51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Spese, rimborsi, missioni e trasferte dei Consiglieri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riguardante le modalità di rimborso spese per le incombenze relative all’attività dell’Ordine.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Supervisione del Revisore dei conti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Revisore dei conti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Pubblicazione Regolamento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51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Gestione ordinaria dell’ente: spese correnti e funzionali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contabilità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Supervisione del Revisore dei conti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Revisore dei conti</w:t>
            </w:r>
          </w:p>
        </w:tc>
        <w:tc>
          <w:tcPr>
            <w:tcW w:w="181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Pubblicazione Regolamento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8"/>
        <w:gridCol w:w="1644"/>
        <w:gridCol w:w="1692"/>
        <w:gridCol w:w="1601"/>
        <w:gridCol w:w="1636"/>
        <w:gridCol w:w="1751"/>
        <w:gridCol w:w="1631"/>
        <w:gridCol w:w="1931"/>
      </w:tblGrid>
      <w:tr>
        <w:trPr/>
        <w:tc>
          <w:tcPr>
            <w:tcW w:w="1788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69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60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636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5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63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3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1759" w:hRule="atLeast"/>
        </w:trPr>
        <w:tc>
          <w:tcPr>
            <w:tcW w:w="1788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  <w:highlight w:val="green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highlight w:val="green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AFFARI LEGALI E CONTENZIOSO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Ricezione / valutazione / gestione di richieste giudiziarie / risarcitorie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Nomina di R.U.P. e verifica assenza conflitti di interessi nel caso specifico tra il R.U.P. ed il richiedente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 ed il R.U.P.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 controllo di volta in volta per ogni specifico caso)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</w:t>
            </w:r>
          </w:p>
        </w:tc>
      </w:tr>
      <w:tr>
        <w:trPr>
          <w:trHeight w:val="290" w:hRule="atLeast"/>
        </w:trPr>
        <w:tc>
          <w:tcPr>
            <w:tcW w:w="178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Ricezione / valutazione / gestione di richieste di autorità amministrative di controllo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Nomina di R.U.P. e verifica assenza conflitti di interessi nel caso specifico tra il R.U.P. ed il richiedente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 ed il R.U.P.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 controllo di volta in volta per ogni specifico caso)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</w:t>
            </w:r>
          </w:p>
        </w:tc>
      </w:tr>
      <w:tr>
        <w:trPr>
          <w:trHeight w:val="2402" w:hRule="atLeast"/>
        </w:trPr>
        <w:tc>
          <w:tcPr>
            <w:tcW w:w="178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Individuazione professionista legale per patrocinio o rappresentanza (vedi affidamento patrocini legali)</w:t>
            </w:r>
          </w:p>
        </w:tc>
        <w:tc>
          <w:tcPr>
            <w:tcW w:w="1692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Nomina di R.U.P. e verifica assenza conflitti di interessi tra il R.U.P. ed il professionista  individuato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 ed il R.U.P.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 controllo di volta in volta per ogni specifico caso)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</w:t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5"/>
        <w:gridCol w:w="1664"/>
        <w:gridCol w:w="1701"/>
        <w:gridCol w:w="1700"/>
        <w:gridCol w:w="1560"/>
        <w:gridCol w:w="1702"/>
        <w:gridCol w:w="1700"/>
        <w:gridCol w:w="1977"/>
      </w:tblGrid>
      <w:tr>
        <w:trPr/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70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70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56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02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70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77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/>
        <w:tc>
          <w:tcPr>
            <w:tcW w:w="187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  <w:u w:val="single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u w:val="single"/>
                <w:lang w:val="it-IT" w:eastAsia="it-IT" w:bidi="ar-SA"/>
              </w:rPr>
              <w:t>AREA RISCHI SPECIFICI PER ORDINI.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PROVVEDIMENTI SENZA EFFETTO ECONOMICO DIRETTO ED IMMEDIATO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Iscrizione all’Albo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(Consigliere segretario) sul rispetto dei requisiti previsti dalla norma e sui tempi di deliberazione e/o notifica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0" w:after="5"/>
              <w:ind w:hanging="0" w:left="0"/>
              <w:rPr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Cancellazione dall’Albo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(Consigliere segretario) sull’effettivo impedimento all’iscrizione per i casi previsti dall’art. 20 del R.D. 2537/25</w:t>
            </w:r>
          </w:p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e sui tempi di deliberazione e/o notifica della cancellazione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0" w:after="5"/>
              <w:rPr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Trasferimento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Sospensione amministrativa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(Consigliere segretario)</w:t>
            </w:r>
          </w:p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sui tempi di deliberazione e/o notifica della sospensione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Concessione esoneri dall’attività formativa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(Consigliere segretario) sul rispetto delle procedure regolamentari ai fini del riconoscimento/negazione e quantificazione dell’esonero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Concessione patrocinio gratuito ad iniziative di terzi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color w:val="FF0000"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Regolamentazione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color w:val="FF0000"/>
                <w:szCs w:val="20"/>
                <w:highlight w:val="yellow"/>
              </w:rPr>
            </w:pPr>
            <w:r>
              <w:rPr>
                <w:rFonts w:eastAsia="Times New Roman"/>
                <w:b/>
                <w:color w:val="FF0000"/>
                <w:kern w:val="0"/>
                <w:szCs w:val="20"/>
                <w:highlight w:val="yellow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sulla concessione di patrocinio gratuito ad iniziative terzi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  <w:highlight w:val="yellow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2022</w:t>
            </w:r>
            <w:bookmarkStart w:id="0" w:name="_GoBack"/>
            <w:bookmarkEnd w:id="0"/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 xml:space="preserve"> - 2023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adozione e pubblicazione del regolamento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Riconoscimento titoli conseguiti all’estero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(Consigliere segretario) sul possesso da parte dei  professionisti iscritti all’Ordine, disponibili all’inserimento nella lista del C.N.I., dei requisiti previsti dalla norma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(Controllo di volta in volta)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1159" w:hRule="atLeast"/>
        </w:trPr>
        <w:tc>
          <w:tcPr>
            <w:tcW w:w="187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FORMAZIONE PROFESSIONALE CONTINUA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Organizzazione eventi formativi in proprio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Istituzione di apposita Commissione Corsi per la stesura del piano formativo e l’organizzazione degli eventi.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 – verifica verbali di consiglio</w:t>
            </w:r>
          </w:p>
        </w:tc>
      </w:tr>
      <w:tr>
        <w:trPr>
          <w:trHeight w:val="1159" w:hRule="atLeast"/>
        </w:trPr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Organizzazione eventi in partnership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della Commissione Corsi e del Consiglio sulla competenza e professionalità del soggetto organizzatore e dei contenuti dell’evento proposto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 congiuntamente alla Commissione Corsi nella figura del coordinatore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 – 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Organizzazione e accreditamento eventi di provider terzi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della Commissione Corsi e del Consiglio sui requisiti del provider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Commissione Corsi nella figura del coordinatore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 – 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Concessione patrocinio ad eventi formativi di terzi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della Commissione Corsi e del Consiglio sui requisiti del richiedente e sui contenuti dell’evento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Commissione Corsi nella figura del coordinatore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Di volta in volta – verifica verbali di consiglio (50%)</w:t>
            </w:r>
          </w:p>
        </w:tc>
      </w:tr>
      <w:tr>
        <w:trPr/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VALUTAZIONE CONGRUITÀ DEI COMPENSI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120" w:after="5"/>
              <w:ind w:hanging="10" w:left="-10" w:right="133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Rilascio di pareri di congruità sui corrispettivi per le prestazioni professionali degli Ingegneri/Ingegneri iuniores, ai sensi dell’art.5, n.3) della legge 24/06/1923 n.1395.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before="120" w:after="5"/>
              <w:ind w:hanging="10" w:left="-10" w:right="133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rStyle w:val="Strong"/>
                <w:b w:val="false"/>
                <w:szCs w:val="20"/>
                <w:shd w:fill="FDFDFD" w:val="clear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L</w:t>
            </w:r>
            <w:r>
              <w:rPr>
                <w:rStyle w:val="Strong"/>
                <w:rFonts w:eastAsia="Times New Roman"/>
                <w:b w:val="false"/>
                <w:kern w:val="0"/>
                <w:szCs w:val="20"/>
                <w:shd w:fill="FDFDFD" w:val="clear"/>
                <w:lang w:val="it-IT" w:eastAsia="it-IT" w:bidi="ar-SA"/>
              </w:rPr>
              <w:t>inee guida sulla procedura per il rilascio dei pareri</w:t>
            </w:r>
          </w:p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sul rispetto delle  norme e delle procedure previste dalle L</w:t>
            </w:r>
            <w:r>
              <w:rPr>
                <w:rStyle w:val="Strong"/>
                <w:rFonts w:eastAsia="Times New Roman"/>
                <w:b w:val="false"/>
                <w:kern w:val="0"/>
                <w:szCs w:val="20"/>
                <w:shd w:fill="FDFDFD" w:val="clear"/>
                <w:lang w:val="it-IT" w:eastAsia="it-IT" w:bidi="ar-SA"/>
              </w:rPr>
              <w:t>inee guida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  <w:p>
            <w:pPr>
              <w:pStyle w:val="Normal"/>
              <w:widowControl/>
              <w:spacing w:before="120" w:after="5"/>
              <w:ind w:hanging="10" w:left="-10" w:right="133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120" w:after="5"/>
              <w:ind w:hanging="0" w:left="0" w:right="133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120" w:after="5"/>
              <w:ind w:hanging="0" w:left="0" w:right="133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120" w:after="5"/>
              <w:ind w:hanging="0" w:left="0" w:right="133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attuta (Di volta in volta)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Pubblicazione Linee guida</w:t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(50%);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120" w:after="5"/>
              <w:ind w:firstLine="7" w:left="0" w:right="135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Liquidazione dei corrispettivi relativi ad incarichi professionali assolti nell’ambito di apposite convenzioni sottoscritte dal Consiglio Nazionale e/o dagli Ordini territoriali degli Ingegneri con le strutture della Protezione Civile e con le Amministrazioni centrali e locali a seguito di eventi calamitosi e di situazioni emergenziali.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before="120" w:after="5"/>
              <w:ind w:firstLine="7" w:left="0" w:right="135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R.U.P. sul rispetto delle  norme e delle convenzioni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R.U.P.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attuta (Di volta in volta)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  <w:p>
            <w:pPr>
              <w:pStyle w:val="Normal"/>
              <w:widowControl/>
              <w:spacing w:before="120" w:after="5"/>
              <w:ind w:firstLine="7" w:left="0" w:right="135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INDIVIDUAZIONE PROFESSIONISTI SU RICHIESTA DI TERZI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Individuazione di iscritto all’albo con competenze specialistiche su richiesta di terzi (commissioni, gruppi di lavoro)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Trasparenza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Invio a tutti gli iscritti di manifestazione di interesse con richiesta c.v. che dimostri le competenze specifiche richieste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in riunione di consiglio dei contenuti del c.v.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Segreteria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(di volta in volta per ogni richiesta pervenuta)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(di volta in volta per ogni richiesta pervenuta)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comunicazioni inviate agli iscritti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verbali di consiglio (50%)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Individuazione di consigliere su richiesta di terzi (commissioni di esame, partecipazione a gruppi esterni all’Ordine o a commissioni)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Prevenzione del conflitto di interesse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assenza conflitti di interesse  nel caso specifico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R.P.C.T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– (Di volta in volta per ogni specifica segnalazione)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Presenza agli atti di dichiarazione di insussistenza di situazioni di conflitto di interesse</w:t>
            </w:r>
          </w:p>
        </w:tc>
      </w:tr>
      <w:tr>
        <w:trPr/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53" w:leader="none"/>
              </w:tabs>
              <w:spacing w:before="183" w:after="5"/>
              <w:ind w:hanging="10" w:left="31"/>
              <w:rPr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 xml:space="preserve">Individuazione professionista per terne collaudatori ai sensi </w:t>
            </w:r>
            <w:r>
              <w:rPr>
                <w:rFonts w:eastAsia="SymbolMT"/>
                <w:b/>
                <w:kern w:val="2"/>
                <w:sz w:val="22"/>
                <w:szCs w:val="22"/>
                <w:lang w:val="it-IT" w:eastAsia="it-IT" w:bidi="ar-SA"/>
              </w:rPr>
              <w:t>del D.P.R. 380/2001, art. 67  come modificato dall'art.3 del D.Lgs 222 del 25/11/2016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tabs>
                <w:tab w:val="clear" w:pos="708"/>
                <w:tab w:val="left" w:pos="953" w:leader="none"/>
              </w:tabs>
              <w:spacing w:before="183" w:after="5"/>
              <w:ind w:hanging="10" w:left="31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Regolamentazione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53" w:leader="none"/>
              </w:tabs>
              <w:spacing w:before="183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Regolamento interno per la scelta dei nominativi per terne collaudatori</w:t>
            </w:r>
          </w:p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ind w:hanging="0" w:left="0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Pubblicazione Regolamento</w:t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508" w:hRule="atLeast"/>
        </w:trPr>
        <w:tc>
          <w:tcPr>
            <w:tcW w:w="187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ELEZIONI DELL’ORDINE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Indizione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Trasparenza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Comunicazione a tutti gli iscritti delle procedure e delle regole dettate dalla legge vigente (DPR n. 169 del 8/07/2005)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– (Quadriennale, in occasione delle elezioni)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Quadriennale, in occasione delle elezioni –verifica esistenza agli atti della comunicazione</w:t>
            </w:r>
          </w:p>
        </w:tc>
      </w:tr>
      <w:tr>
        <w:trPr>
          <w:trHeight w:val="875" w:hRule="atLeast"/>
        </w:trPr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Costituzione seggi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color w:val="FF0000"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Regolamentazione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color w:val="FF0000"/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Procedura interna ( criteri di selezione dei componenti dei seggi, modalità organizzazione dei seggi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- Adozione e pubblicazione di procedura</w:t>
            </w:r>
          </w:p>
        </w:tc>
      </w:tr>
      <w:tr>
        <w:trPr>
          <w:trHeight w:val="656" w:hRule="atLeast"/>
        </w:trPr>
        <w:tc>
          <w:tcPr>
            <w:tcW w:w="1875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Spoglio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Trasparenza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Comunicazione a tutti gli iscritti delle procedure e delle regole dettate dalla legge vigente (DPR n. 169 del 8/07/2005)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 – (Quadriennale, in occasione delle elezioni)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Quadriennale, in occasione delle elezioni – verifica esistenza agli atti della comunicazione</w:t>
            </w:r>
          </w:p>
        </w:tc>
      </w:tr>
      <w:tr>
        <w:trPr/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ORGANIZZAZIONE DEL CONGRESSO ANNUALE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Proposta e organizzazione contenuti e tematiche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L’Ordine di Alessandria non è l’organizzatore del Congresso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</w:tr>
      <w:tr>
        <w:trPr/>
        <w:tc>
          <w:tcPr>
            <w:tcW w:w="1875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Organizzazione logistica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  <w:t>-</w:t>
            </w:r>
          </w:p>
        </w:tc>
      </w:tr>
      <w:tr>
        <w:trPr/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PARTECIPAZIONE DELL’ORDINE AD EVENTI ESTERNI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</w:rPr>
            </w:pPr>
            <w:r>
              <w:rPr>
                <w:rFonts w:eastAsia="Times New Roman"/>
                <w:b/>
                <w:kern w:val="0"/>
                <w:szCs w:val="22"/>
                <w:lang w:val="it-IT" w:eastAsia="it-IT" w:bidi="ar-SA"/>
              </w:rPr>
              <w:t>Partecipazione del Presidente dell’Ordine o di consiglieri ad eventi esterni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Prevenzione del conflitto di interesse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Trasparenza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assenza conflitti di interesse nel caso specifico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Pubblicazione sul sito dell’Ordine dell’evento e dei Consiglieri designati a partecipare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R.P.C.T. e Consiglio dell’Ordine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La segreteria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Di volta in volta per ogni specifica partecipazione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Di volta in volta per ogni specifica partecipazione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Annuale –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Presenza agli atti di dichiarazione di insussistenza di situazioni di conflitto di interesse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verbali di consiglio (50%)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dell’avvenuta pubblicazione</w:t>
            </w:r>
          </w:p>
        </w:tc>
      </w:tr>
      <w:tr>
        <w:trPr/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1875" w:type="dxa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PARTECIPAZIONE DEL PRESIDENTE O DI CONSIGLIERI AD ASSOCIAZIONI O ENTI CON AMBITI DI INTERESSE E OPERATIVITÀ COINCIDENTI O SIMILI A QUELLI DELL’ORDINE</w:t>
            </w:r>
          </w:p>
        </w:tc>
        <w:tc>
          <w:tcPr>
            <w:tcW w:w="1664" w:type="dxa"/>
            <w:tcBorders/>
          </w:tcPr>
          <w:p>
            <w:pPr>
              <w:pStyle w:val="Normal"/>
              <w:widowControl/>
              <w:spacing w:before="0" w:after="5"/>
              <w:rPr>
                <w:b/>
              </w:rPr>
            </w:pPr>
            <w:r>
              <w:rPr>
                <w:rFonts w:eastAsia="Times New Roman"/>
                <w:b/>
                <w:kern w:val="0"/>
                <w:szCs w:val="22"/>
                <w:lang w:val="it-IT" w:eastAsia="it-IT" w:bidi="ar-SA"/>
              </w:rPr>
              <w:t>Partecipazione del Presidente dell’Ordine o di consiglieri ad associazioni o enti con ambiti di interesse e operatività coincidenti o simili a quelli dell’Ordine</w:t>
            </w:r>
          </w:p>
        </w:tc>
        <w:tc>
          <w:tcPr>
            <w:tcW w:w="1701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Prevenzione del conflitto di interesse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Trasparenza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it-IT" w:eastAsia="it-IT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assenza conflitti di interesse nel caso specifico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Pubblicazione sul sito dell’Ordine dell’evento e dei Consiglieri designati a partecipare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R.P.C.T. e Consiglio dell’Ordine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La segreteria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Di volta in volta per ogni specifica partecipazione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Di volta in volta per ogni specifica partecipazione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Annuale – Presenza agli atti di dichiarazione di insussistenza di situazioni di conflitto di interesse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verbali di consiglio (50%)</w:t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Verifica dell’avvenuta pubblicazione</w:t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tbl>
      <w:tblPr>
        <w:tblStyle w:val="Grigliatabella"/>
        <w:tblW w:w="138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8"/>
        <w:gridCol w:w="1750"/>
        <w:gridCol w:w="1699"/>
        <w:gridCol w:w="1626"/>
        <w:gridCol w:w="1675"/>
        <w:gridCol w:w="1750"/>
        <w:gridCol w:w="1671"/>
        <w:gridCol w:w="1931"/>
      </w:tblGrid>
      <w:tr>
        <w:trPr/>
        <w:tc>
          <w:tcPr>
            <w:tcW w:w="1708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AREA DI RISCHIO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PROCESSO</w:t>
            </w:r>
          </w:p>
        </w:tc>
        <w:tc>
          <w:tcPr>
            <w:tcW w:w="1699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VALUTAZIONE</w:t>
            </w:r>
          </w:p>
        </w:tc>
        <w:tc>
          <w:tcPr>
            <w:tcW w:w="1626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TIPOLOGIA MISURA</w:t>
            </w:r>
          </w:p>
        </w:tc>
        <w:tc>
          <w:tcPr>
            <w:tcW w:w="1675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DESCRIZIONE MISURA</w:t>
            </w:r>
          </w:p>
        </w:tc>
        <w:tc>
          <w:tcPr>
            <w:tcW w:w="1750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RESPONSABILE ATTUAZIONE</w:t>
            </w:r>
          </w:p>
        </w:tc>
        <w:tc>
          <w:tcPr>
            <w:tcW w:w="167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TEMPI DI ATTUAZIONE</w:t>
            </w:r>
          </w:p>
        </w:tc>
        <w:tc>
          <w:tcPr>
            <w:tcW w:w="1931" w:type="dxa"/>
            <w:tcBorders/>
          </w:tcPr>
          <w:p>
            <w:pPr>
              <w:pStyle w:val="TableParagraph"/>
              <w:spacing w:lineRule="auto" w:line="235" w:before="42" w:after="0"/>
              <w:ind w:hanging="0" w:left="0" w:right="168"/>
              <w:rPr>
                <w:b/>
              </w:rPr>
            </w:pPr>
            <w:r>
              <w:rPr>
                <w:b/>
                <w:kern w:val="0"/>
                <w:szCs w:val="22"/>
                <w:lang w:val="it-IT" w:eastAsia="it-IT"/>
              </w:rPr>
              <w:t>MONITORAGGIO ED INDICATORI</w:t>
            </w:r>
          </w:p>
        </w:tc>
      </w:tr>
      <w:tr>
        <w:trPr>
          <w:trHeight w:val="1159" w:hRule="atLeast"/>
        </w:trPr>
        <w:tc>
          <w:tcPr>
            <w:tcW w:w="1708" w:type="dxa"/>
            <w:vMerge w:val="restart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  <w:t>AREA RISCHIO CONTROLLI, VERIFICHE, ISPEZIONI E SANZIONI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Verifica delle attività dei dipendenti e dei Consiglieri</w:t>
            </w:r>
          </w:p>
        </w:tc>
        <w:tc>
          <w:tcPr>
            <w:tcW w:w="1699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color w:val="FF0000"/>
                <w:kern w:val="0"/>
                <w:szCs w:val="20"/>
                <w:lang w:val="it-IT" w:eastAsia="it-IT" w:bidi="ar-SA"/>
              </w:rPr>
              <w:t>Promozione dell’etica / sensibilizzazione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Organizzazione di incontri con i dipendenti per illustrare i contenuti del codice dei dipendenti e promuovere l’etica e l’integrità.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color w:val="FF0000"/>
                <w:kern w:val="0"/>
                <w:szCs w:val="22"/>
                <w:lang w:val="it-IT" w:eastAsia="it-IT" w:bidi="ar-SA"/>
              </w:rPr>
              <w:t xml:space="preserve">Aggiornamento del codice di comportamento </w:t>
            </w:r>
            <w:r>
              <w:rPr>
                <w:rFonts w:eastAsia="Times New Roman" w:cs="Calibri" w:cstheme="minorHAnsi"/>
                <w:kern w:val="0"/>
                <w:szCs w:val="22"/>
                <w:lang w:val="it-IT" w:eastAsia="it-IT" w:bidi="ar-SA"/>
              </w:rPr>
              <w:t>sulla base delle Linee guida approvate da ANAC  con  delibera n. 177 del 19/02/ 2020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 - RPCT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67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Scadenza triennio 2026-2028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– verifica presenza agli incontri organizzati.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5"/>
              <w:rPr>
                <w:rFonts w:ascii="Calibri" w:hAnsi="Calibri" w:eastAsia="Times New Roman"/>
                <w:kern w:val="0"/>
                <w:szCs w:val="22"/>
                <w:lang w:val="it-IT" w:eastAsia="it-IT" w:bidi="ar-SA"/>
              </w:rPr>
            </w:pPr>
            <w:r>
              <w:rPr>
                <w:rFonts w:eastAsia="Times New Roman"/>
                <w:kern w:val="0"/>
                <w:szCs w:val="22"/>
                <w:lang w:val="it-IT" w:eastAsia="it-IT" w:bidi="ar-SA"/>
              </w:rPr>
              <w:t>Pubblicazione codice aggiornato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70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color w:val="FF0000"/>
                <w:sz w:val="22"/>
              </w:rPr>
            </w:pPr>
            <w:r>
              <w:rPr>
                <w:rFonts w:eastAsia="Times New Roman"/>
                <w:b/>
                <w:color w:val="FF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67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Cs w:val="20"/>
              </w:rPr>
            </w:pPr>
            <w:r>
              <w:rPr>
                <w:rFonts w:eastAsia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>
          <w:trHeight w:val="720" w:hRule="atLeast"/>
        </w:trPr>
        <w:tc>
          <w:tcPr>
            <w:tcW w:w="1708" w:type="dxa"/>
            <w:vMerge w:val="continue"/>
            <w:tcBorders/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  <w:t>Controllo contabile</w:t>
            </w:r>
          </w:p>
        </w:tc>
        <w:tc>
          <w:tcPr>
            <w:tcW w:w="1699" w:type="dxa"/>
            <w:tcBorders/>
            <w:shd w:color="auto" w:fill="00B050" w:val="clear"/>
          </w:tcPr>
          <w:p>
            <w:pPr>
              <w:pStyle w:val="Normal"/>
              <w:widowControl/>
              <w:spacing w:lineRule="auto" w:line="259" w:before="0" w:after="0"/>
              <w:ind w:hanging="10" w:left="0"/>
              <w:jc w:val="left"/>
              <w:rPr>
                <w:b/>
                <w:sz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Istituzione figura del Revisore dei conti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da parte del Consiglio dell’ordine del bilancio prima dell’approvazione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da parte degli iscritti del bilancio prima dell’approvazione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Consiglio dell’ordine</w:t>
            </w:r>
          </w:p>
        </w:tc>
        <w:tc>
          <w:tcPr>
            <w:tcW w:w="167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Già attuata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Annuale -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Verifica e pubblicazione delle relazioni del Revisore dei conti.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dei verbali delle riunioni di Consiglio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szCs w:val="20"/>
              </w:rPr>
            </w:pPr>
            <w:r>
              <w:rPr>
                <w:rFonts w:eastAsia="Times New Roman"/>
                <w:kern w:val="0"/>
                <w:szCs w:val="20"/>
                <w:lang w:val="it-IT" w:eastAsia="it-IT" w:bidi="ar-SA"/>
              </w:rPr>
              <w:t>Controllo del verbale dell’Assemblea degli iscritti</w:t>
            </w:r>
          </w:p>
        </w:tc>
      </w:tr>
    </w:tbl>
    <w:p>
      <w:pPr>
        <w:pStyle w:val="Normal"/>
        <w:spacing w:lineRule="auto" w:line="259" w:before="0" w:after="0"/>
        <w:ind w:hanging="0" w:lef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0" w:after="0"/>
        <w:ind w:hanging="0" w:left="0"/>
        <w:jc w:val="left"/>
        <w:rPr>
          <w:sz w:val="22"/>
        </w:rPr>
      </w:pPr>
      <w:r>
        <w:rPr>
          <w:sz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733" w:right="1421" w:gutter="0" w:header="0" w:top="1133" w:footer="954" w:bottom="1123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489098026"/>
    </w:sdtPr>
    <w:sdtContent>
      <w:p>
        <w:pPr>
          <w:pStyle w:val="Footer"/>
          <w:jc w:val="right"/>
          <w:rPr/>
        </w:pPr>
        <w:r>
          <w:rPr/>
          <w:t>A3-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  <w:p>
    <w:pPr>
      <w:pStyle w:val="Normal"/>
      <w:spacing w:lineRule="auto" w:line="259" w:before="0" w:after="160"/>
      <w:ind w:hanging="0" w:left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489098026"/>
    </w:sdtPr>
    <w:sdtContent>
      <w:p>
        <w:pPr>
          <w:pStyle w:val="Footer"/>
          <w:jc w:val="right"/>
          <w:rPr/>
        </w:pPr>
        <w:r>
          <w:rPr/>
          <w:t>A3-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  <w:p>
    <w:pPr>
      <w:pStyle w:val="Normal"/>
      <w:spacing w:lineRule="auto" w:line="259" w:before="0" w:after="160"/>
      <w:ind w:hanging="0" w:left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2e42"/>
    <w:pPr>
      <w:widowControl/>
      <w:bidi w:val="0"/>
      <w:spacing w:lineRule="auto" w:line="250" w:before="0" w:after="5"/>
      <w:ind w:hanging="10" w:left="10"/>
      <w:jc w:val="both"/>
    </w:pPr>
    <w:rPr>
      <w:rFonts w:cs="Calibri" w:ascii="Calibri" w:hAnsi="Calibri" w:eastAsia="Times New Roman"/>
      <w:color w:val="000000"/>
      <w:kern w:val="0"/>
      <w:sz w:val="20"/>
      <w:szCs w:val="22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592e42"/>
    <w:pPr>
      <w:keepNext w:val="true"/>
      <w:keepLines/>
      <w:spacing w:lineRule="auto" w:line="259" w:before="0" w:after="0"/>
      <w:ind w:hanging="0" w:left="0" w:right="1"/>
      <w:jc w:val="center"/>
      <w:outlineLvl w:val="0"/>
    </w:pPr>
    <w:rPr>
      <w:rFonts w:cs="Times New Roman"/>
      <w:b/>
      <w:color w:val="002060"/>
      <w:sz w:val="32"/>
    </w:rPr>
  </w:style>
  <w:style w:type="paragraph" w:styleId="Heading2">
    <w:name w:val="heading 2"/>
    <w:basedOn w:val="Normal"/>
    <w:next w:val="Normal"/>
    <w:link w:val="Titolo2Carattere"/>
    <w:uiPriority w:val="99"/>
    <w:qFormat/>
    <w:rsid w:val="00592e42"/>
    <w:pPr>
      <w:keepNext w:val="true"/>
      <w:keepLines/>
      <w:spacing w:lineRule="auto" w:line="254" w:before="0" w:after="2"/>
      <w:jc w:val="left"/>
      <w:outlineLvl w:val="1"/>
    </w:pPr>
    <w:rPr>
      <w:rFonts w:cs="Times New Roman"/>
      <w:b/>
      <w:sz w:val="22"/>
    </w:rPr>
  </w:style>
  <w:style w:type="paragraph" w:styleId="Heading3">
    <w:name w:val="heading 3"/>
    <w:basedOn w:val="Normal"/>
    <w:next w:val="Normal"/>
    <w:link w:val="Titolo3Carattere"/>
    <w:uiPriority w:val="99"/>
    <w:qFormat/>
    <w:rsid w:val="00592e42"/>
    <w:pPr>
      <w:keepNext w:val="true"/>
      <w:keepLines/>
      <w:spacing w:lineRule="auto" w:line="264" w:before="0" w:after="3"/>
      <w:jc w:val="left"/>
      <w:outlineLvl w:val="2"/>
    </w:pPr>
    <w:rPr>
      <w:rFonts w:cs="Times New Roman"/>
      <w:b/>
      <w:i/>
      <w:sz w:val="22"/>
      <w:u w:val="single" w:color="000000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592e42"/>
    <w:pPr>
      <w:keepNext w:val="true"/>
      <w:keepLines/>
      <w:spacing w:lineRule="auto" w:line="259" w:before="0" w:after="0"/>
      <w:jc w:val="left"/>
      <w:outlineLvl w:val="3"/>
    </w:pPr>
    <w:rPr>
      <w:rFonts w:cs="Times New Roman"/>
      <w:b/>
      <w:sz w:val="22"/>
      <w:u w:val="single" w:color="000000"/>
    </w:rPr>
  </w:style>
  <w:style w:type="paragraph" w:styleId="Heading5">
    <w:name w:val="heading 5"/>
    <w:basedOn w:val="Normal"/>
    <w:next w:val="Normal"/>
    <w:link w:val="Titolo5Carattere"/>
    <w:uiPriority w:val="99"/>
    <w:qFormat/>
    <w:rsid w:val="00592e42"/>
    <w:pPr>
      <w:keepNext w:val="true"/>
      <w:keepLines/>
      <w:spacing w:lineRule="auto" w:line="259" w:before="0" w:after="0"/>
      <w:ind w:left="370"/>
      <w:jc w:val="left"/>
      <w:outlineLvl w:val="4"/>
    </w:pPr>
    <w:rPr>
      <w:b/>
      <w:i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592e42"/>
    <w:rPr>
      <w:rFonts w:ascii="Calibri" w:hAnsi="Calibri" w:eastAsia="Times New Roman"/>
      <w:b/>
      <w:color w:val="002060"/>
      <w:sz w:val="22"/>
    </w:rPr>
  </w:style>
  <w:style w:type="character" w:styleId="Titolo2Carattere" w:customStyle="1">
    <w:name w:val="Titolo 2 Carattere"/>
    <w:basedOn w:val="DefaultParagraphFont"/>
    <w:uiPriority w:val="99"/>
    <w:qFormat/>
    <w:locked/>
    <w:rsid w:val="00592e42"/>
    <w:rPr>
      <w:rFonts w:ascii="Calibri" w:hAnsi="Calibri" w:eastAsia="Times New Roman"/>
      <w:b/>
      <w:color w:val="000000"/>
      <w:sz w:val="22"/>
    </w:rPr>
  </w:style>
  <w:style w:type="character" w:styleId="Titolo3Carattere" w:customStyle="1">
    <w:name w:val="Titolo 3 Carattere"/>
    <w:basedOn w:val="DefaultParagraphFont"/>
    <w:uiPriority w:val="99"/>
    <w:qFormat/>
    <w:locked/>
    <w:rsid w:val="00592e42"/>
    <w:rPr>
      <w:rFonts w:ascii="Calibri" w:hAnsi="Calibri" w:eastAsia="Times New Roman"/>
      <w:b/>
      <w:i/>
      <w:color w:val="000000"/>
      <w:sz w:val="22"/>
      <w:u w:val="single" w:color="000000"/>
    </w:rPr>
  </w:style>
  <w:style w:type="character" w:styleId="Titolo4Carattere" w:customStyle="1">
    <w:name w:val="Titolo 4 Carattere"/>
    <w:basedOn w:val="DefaultParagraphFont"/>
    <w:uiPriority w:val="99"/>
    <w:qFormat/>
    <w:locked/>
    <w:rsid w:val="00592e42"/>
    <w:rPr>
      <w:rFonts w:ascii="Calibri" w:hAnsi="Calibri" w:eastAsia="Times New Roman"/>
      <w:b/>
      <w:color w:val="000000"/>
      <w:sz w:val="22"/>
      <w:u w:val="single" w:color="000000"/>
    </w:rPr>
  </w:style>
  <w:style w:type="character" w:styleId="Titolo5Carattere" w:customStyle="1">
    <w:name w:val="Titolo 5 Carattere"/>
    <w:basedOn w:val="DefaultParagraphFont"/>
    <w:uiPriority w:val="99"/>
    <w:qFormat/>
    <w:locked/>
    <w:rsid w:val="00592e42"/>
    <w:rPr>
      <w:rFonts w:ascii="Calibri" w:hAnsi="Calibri" w:eastAsia="Times New Roman"/>
      <w:b/>
      <w:i/>
      <w:color w:val="000000"/>
      <w:sz w:val="22"/>
      <w:lang w:val="it-IT" w:eastAsia="it-IT"/>
    </w:rPr>
  </w:style>
  <w:style w:type="character" w:styleId="footnotedescriptionChar" w:customStyle="1">
    <w:name w:val="footnote description Char"/>
    <w:link w:val="footnotedescription"/>
    <w:uiPriority w:val="99"/>
    <w:qFormat/>
    <w:locked/>
    <w:rsid w:val="00592e42"/>
    <w:rPr>
      <w:rFonts w:ascii="Calibri" w:hAnsi="Calibri" w:eastAsia="Times New Roman"/>
      <w:color w:val="000000"/>
      <w:sz w:val="22"/>
    </w:rPr>
  </w:style>
  <w:style w:type="character" w:styleId="footnotemark" w:customStyle="1">
    <w:name w:val="footnote mark"/>
    <w:uiPriority w:val="99"/>
    <w:qFormat/>
    <w:rsid w:val="00592e42"/>
    <w:rPr>
      <w:rFonts w:ascii="Calibri" w:hAnsi="Calibri" w:eastAsia="Times New Roman"/>
      <w:color w:val="000000"/>
      <w:sz w:val="18"/>
      <w:vertAlign w:val="superscript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5c4f35"/>
    <w:rPr>
      <w:rFonts w:cs="Calibri"/>
      <w:color w:val="000000"/>
      <w:sz w:val="20"/>
      <w:szCs w:val="20"/>
    </w:rPr>
  </w:style>
  <w:style w:type="character" w:styleId="TestonotaapidipaginaCarattere" w:customStyle="1">
    <w:name w:val="Testo nota a piè di pagina Carattere"/>
    <w:uiPriority w:val="99"/>
    <w:qFormat/>
    <w:locked/>
    <w:rsid w:val="005a2af3"/>
    <w:rPr>
      <w:rFonts w:ascii="Calibri" w:hAnsi="Calibri"/>
      <w:lang w:val="it-IT" w:eastAsia="en-US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5a2af3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ile1Carattere" w:customStyle="1">
    <w:name w:val="Stile1 Carattere"/>
    <w:basedOn w:val="Titolo2Carattere"/>
    <w:link w:val="Stile1"/>
    <w:qFormat/>
    <w:rsid w:val="00c713be"/>
    <w:rPr>
      <w:rFonts w:ascii="Calibri" w:hAnsi="Calibri" w:eastAsia="Times New Roman"/>
      <w:b/>
      <w:color w:val="000000"/>
      <w:sz w:val="28"/>
    </w:rPr>
  </w:style>
  <w:style w:type="character" w:styleId="IntestazioneCarattere" w:customStyle="1">
    <w:name w:val="Intestazione Carattere"/>
    <w:basedOn w:val="DefaultParagraphFont"/>
    <w:uiPriority w:val="99"/>
    <w:qFormat/>
    <w:rsid w:val="00b45232"/>
    <w:rPr>
      <w:rFonts w:cs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d64744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ca796a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02efa"/>
    <w:rPr>
      <w:rFonts w:ascii="Segoe UI" w:hAnsi="Segoe UI" w:cs="Segoe UI"/>
      <w:color w:val="000000"/>
      <w:sz w:val="18"/>
      <w:szCs w:val="18"/>
    </w:rPr>
  </w:style>
  <w:style w:type="character" w:styleId="PidipaginaCarattere" w:customStyle="1">
    <w:name w:val="Piè di pagina Carattere"/>
    <w:basedOn w:val="DefaultParagraphFont"/>
    <w:uiPriority w:val="99"/>
    <w:qFormat/>
    <w:rsid w:val="00240482"/>
    <w:rPr>
      <w:rFonts w:ascii="Calibri" w:hAnsi="Calibri" w:eastAsia="" w:asciiTheme="minorHAnsi" w:eastAsiaTheme="minorEastAsia" w:hAnsiTheme="minorHAnsi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description" w:customStyle="1">
    <w:name w:val="footnote description"/>
    <w:next w:val="Normal"/>
    <w:link w:val="footnotedescriptionChar"/>
    <w:uiPriority w:val="99"/>
    <w:qFormat/>
    <w:rsid w:val="00592e42"/>
    <w:pPr>
      <w:widowControl/>
      <w:bidi w:val="0"/>
      <w:spacing w:lineRule="auto" w:line="259" w:before="0" w:after="0"/>
      <w:jc w:val="left"/>
    </w:pPr>
    <w:rPr>
      <w:rFonts w:ascii="Calibri" w:hAnsi="Calibri" w:eastAsia="Times New Roman" w:cs="Times New Roman"/>
      <w:color w:val="000000"/>
      <w:kern w:val="0"/>
      <w:sz w:val="18"/>
      <w:szCs w:val="22"/>
      <w:lang w:val="it-IT" w:eastAsia="it-IT" w:bidi="ar-SA"/>
    </w:rPr>
  </w:style>
  <w:style w:type="paragraph" w:styleId="FootnoteText">
    <w:name w:val="footnote text"/>
    <w:basedOn w:val="Normal"/>
    <w:link w:val="TestonotaapidipaginaCarattere"/>
    <w:uiPriority w:val="99"/>
    <w:rsid w:val="005a2af3"/>
    <w:pPr>
      <w:spacing w:lineRule="auto" w:line="276" w:before="0" w:after="200"/>
      <w:ind w:hanging="0" w:left="0"/>
      <w:jc w:val="left"/>
    </w:pPr>
    <w:rPr>
      <w:rFonts w:cs="Times New Roman"/>
      <w:color w:val="auto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16bc6"/>
    <w:pPr>
      <w:spacing w:before="0" w:after="5"/>
      <w:ind w:left="720"/>
      <w:contextualSpacing/>
    </w:pPr>
    <w:rPr/>
  </w:style>
  <w:style w:type="paragraph" w:styleId="Stile1" w:customStyle="1">
    <w:name w:val="Stile1"/>
    <w:basedOn w:val="Heading2"/>
    <w:link w:val="Stile1Carattere"/>
    <w:qFormat/>
    <w:rsid w:val="00c713be"/>
    <w:pPr>
      <w:spacing w:before="0" w:after="181"/>
      <w:ind w:left="-5"/>
    </w:pPr>
    <w:rPr>
      <w:sz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4523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c61fe"/>
    <w:pPr>
      <w:spacing w:lineRule="auto" w:line="240" w:beforeAutospacing="1" w:afterAutospacing="1"/>
      <w:ind w:hanging="0"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f30f50"/>
    <w:pPr>
      <w:widowControl w:val="false"/>
      <w:spacing w:lineRule="auto" w:line="240" w:before="0" w:after="0"/>
      <w:ind w:hanging="0" w:left="144"/>
      <w:jc w:val="left"/>
    </w:pPr>
    <w:rPr>
      <w:rFonts w:eastAsia="Calibri"/>
      <w:color w:val="auto"/>
      <w:sz w:val="22"/>
      <w:lang w:bidi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02e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PidipaginaCarattere"/>
    <w:uiPriority w:val="99"/>
    <w:unhideWhenUsed/>
    <w:rsid w:val="00240482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  <w:ind w:hanging="0" w:left="0"/>
      <w:jc w:val="left"/>
    </w:pPr>
    <w:rPr>
      <w:rFonts w:ascii="Calibri" w:hAnsi="Calibri" w:eastAsia="" w:cs="Times New Roman" w:asciiTheme="minorHAnsi" w:eastAsiaTheme="minorEastAsia" w:hAnsiTheme="minorHAnsi"/>
      <w:color w:val="auto"/>
      <w:sz w:val="22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2e4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131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C0F5-D226-41CE-AED1-401B7C1A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LibreOffice/25.2.7.2$Windows_X86_64 LibreOffice_project/5cbfd1ab6520636bb5f7b99185aa69bd7456825d</Application>
  <AppVersion>15.0000</AppVersion>
  <Pages>19</Pages>
  <Words>2633</Words>
  <Characters>17282</Characters>
  <CharactersWithSpaces>19454</CharactersWithSpaces>
  <Paragraphs>514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2021-01-03T17:35:00Z</dcterms:created>
  <dc:creator>Monica</dc:creator>
  <dc:description/>
  <dc:language>it-IT</dc:language>
  <cp:lastModifiedBy/>
  <cp:lastPrinted>2020-12-20T16:44:00Z</cp:lastPrinted>
  <dcterms:modified xsi:type="dcterms:W3CDTF">2026-02-01T20:17:49Z</dcterms:modified>
  <cp:revision>128</cp:revision>
  <dc:subject/>
  <dc:title>PIANO TRIENNALE DI PREVENZIONE DELLA CORRUZIONE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